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rPr>
          <w:b/>
          <w:bCs/>
          <w:color w:val="1B4332"/>
          <w:sz w:val="44"/>
          <w:szCs w:val="44"/>
        </w:rPr>
        <w:t xml:space="preserve">Annuity Analysis Report Template</w:t>
      </w:r>
    </w:p>
    <w:p>
      <w:pPr>
        <w:spacing w:after="400"/>
      </w:pPr>
      <w:r>
        <w:rPr>
          <w:color w:val="6B6B6B"/>
          <w:sz w:val="18"/>
          <w:szCs w:val="18"/>
        </w:rPr>
        <w:t xml:space="preserve">Generated by RetireStack.ai · </w:t>
      </w:r>
      <w:r>
        <w:rPr>
          <w:color w:val="6B6B6B"/>
          <w:sz w:val="18"/>
          <w:szCs w:val="18"/>
        </w:rPr>
        <w:t xml:space="preserve">May 21, 2026</w:t>
      </w:r>
    </w:p>
    <w:p>
      <w:pPr>
        <w:pStyle w:val="Heading2"/>
        <w:shd w:fill="1B4332" w:color="1B4332" w:val="solid"/>
        <w:spacing w:after="120" w:before="320"/>
      </w:pPr>
      <w:r>
        <w:t xml:space="preserve">Executive Summary &amp; Recommendation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Type Comparison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Fee Analysis &amp; Total Cost of Ownership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Questions to Ask Annuity Providers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hd w:fill="D4A574" w:color="D4A574" w:val="solid"/>
        <w:spacing w:after="200" w:before="400"/>
      </w:pPr>
      <w:r>
        <w:rPr>
          <w:b/>
          <w:bCs/>
          <w:color w:val="FFFFFF"/>
          <w:sz w:val="24"/>
          <w:szCs w:val="24"/>
        </w:rPr>
        <w:t xml:space="preserve">✦ PREMIUM ANALYSIS</w:t>
      </w:r>
    </w:p>
    <w:p>
      <w:pPr>
        <w:pStyle w:val="Heading2"/>
        <w:shd w:fill="1B4332" w:color="1B4332" w:val="solid"/>
        <w:spacing w:after="120" w:before="320"/>
      </w:pPr>
      <w:r>
        <w:t xml:space="preserve">Income Projection Scenarios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Surrender Schedule &amp; Liquidity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Inflation Rider &amp; COLA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Tax-Deferred Growth Projections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Laddering Strategy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pacing w:before="400"/>
      </w:pPr>
    </w:p>
    <w:p>
      <w:pPr>
        <w:spacing w:after="200" w:before="0"/>
      </w:pPr>
      <w:r>
        <w:rPr>
          <w:i/>
          <w:iCs/>
          <w:color w:val="6B6B6B"/>
          <w:sz w:val="16"/>
          <w:szCs w:val="16"/>
        </w:rPr>
        <w:t xml:space="preserve">This is a blank template from RetireStack.ai. Fill in your own data or use the AI-powered generator at RetireStack.ai for a personalized report.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RetireStack.ai · Retirement Lifestyle Intelligence · </w:t>
    </w:r>
    <w:r>
      <w:rPr>
        <w:color w:val="1B4332"/>
        <w:sz w:val="16"/>
        <w:szCs w:val="16"/>
      </w:rPr>
      <w:t xml:space="preserve">retirestack.ai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B4332"/>
        <w:sz w:val="18"/>
        <w:szCs w:val="18"/>
      </w:rPr>
      <w:t xml:space="preserve">RetireStack</w:t>
    </w:r>
    <w:r>
      <w:rPr>
        <w:color w:val="D4A574"/>
        <w:sz w:val="18"/>
        <w:szCs w:val="18"/>
      </w:rPr>
      <w:t xml:space="preserve"> · AI-Powered Financial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400"/>
    </w:pPr>
    <w:rPr>
      <w:rFonts w:ascii="Calibri" w:cs="Calibri" w:eastAsia="Calibri" w:hAnsi="Calibri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hd w:fill="1B4332" w:color="1B4332" w:val="solid"/>
      <w:spacing w:after="120" w:before="320"/>
    </w:pPr>
    <w:rPr>
      <w:rFonts w:ascii="Calibri" w:cs="Calibri" w:eastAsia="Calibri" w:hAnsi="Calibri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</w:pPr>
    <w:rPr>
      <w:rFonts w:ascii="Calibri" w:cs="Calibri" w:eastAsia="Calibri" w:hAnsi="Calibri"/>
      <w:b/>
      <w:bCs/>
      <w:color w:val="2D6A4F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Analysis Report Template</dc:title>
  <dc:creator>RetireStack.ai</dc:creator>
  <dc:description>AI-Generated Retirement Analysis</dc:description>
  <cp:lastModifiedBy>Un-named</cp:lastModifiedBy>
  <cp:revision>1</cp:revision>
  <dcterms:created xsi:type="dcterms:W3CDTF">2026-05-21T00:11:16.850Z</dcterms:created>
  <dcterms:modified xsi:type="dcterms:W3CDTF">2026-05-21T00:11:16.850Z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